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16AC" w14:textId="77777777" w:rsidR="009B0B6D" w:rsidRPr="00BF45E0" w:rsidRDefault="005032F3" w:rsidP="007D4196">
      <w:pPr>
        <w:spacing w:after="140" w:line="276" w:lineRule="auto"/>
        <w:ind w:left="0" w:right="5365" w:firstLine="0"/>
        <w:jc w:val="center"/>
        <w:rPr>
          <w:sz w:val="24"/>
          <w:szCs w:val="24"/>
        </w:rPr>
      </w:pPr>
      <w:r w:rsidRPr="00BF45E0">
        <w:rPr>
          <w:noProof/>
          <w:sz w:val="24"/>
          <w:szCs w:val="24"/>
        </w:rPr>
        <w:drawing>
          <wp:inline distT="0" distB="0" distL="0" distR="0" wp14:anchorId="0CC170FB" wp14:editId="0AA01DE0">
            <wp:extent cx="2601468" cy="768096"/>
            <wp:effectExtent l="0" t="0" r="0" b="0"/>
            <wp:docPr id="1" name="Picture 16880" descr="Mairie de Villefranque"/>
            <wp:cNvGraphicFramePr/>
            <a:graphic xmlns:a="http://schemas.openxmlformats.org/drawingml/2006/main">
              <a:graphicData uri="http://schemas.openxmlformats.org/drawingml/2006/picture">
                <pic:pic xmlns:pic="http://schemas.openxmlformats.org/drawingml/2006/picture">
                  <pic:nvPicPr>
                    <pic:cNvPr id="1" name="Picture 16880" descr="Mairie de Villefranque"/>
                    <pic:cNvPicPr/>
                  </pic:nvPicPr>
                  <pic:blipFill>
                    <a:blip r:embed="rId8"/>
                    <a:stretch/>
                  </pic:blipFill>
                  <pic:spPr bwMode="auto">
                    <a:xfrm>
                      <a:off x="0" y="0"/>
                      <a:ext cx="2601468" cy="768096"/>
                    </a:xfrm>
                    <a:prstGeom prst="rect">
                      <a:avLst/>
                    </a:prstGeom>
                  </pic:spPr>
                </pic:pic>
              </a:graphicData>
            </a:graphic>
          </wp:inline>
        </w:drawing>
      </w:r>
    </w:p>
    <w:p w14:paraId="1DE6964F" w14:textId="5BC5A3C8" w:rsidR="009B0B6D" w:rsidRPr="00BF45E0" w:rsidRDefault="007D4196" w:rsidP="007D4196">
      <w:pPr>
        <w:spacing w:after="0" w:line="240" w:lineRule="auto"/>
        <w:ind w:left="0" w:right="5365" w:hanging="11"/>
        <w:jc w:val="center"/>
        <w:rPr>
          <w:sz w:val="22"/>
        </w:rPr>
      </w:pPr>
      <w:r w:rsidRPr="00BF45E0">
        <w:rPr>
          <w:rFonts w:asciiTheme="minorHAnsi" w:hAnsiTheme="minorHAnsi" w:cstheme="minorHAnsi"/>
          <w:spacing w:val="16"/>
          <w:sz w:val="16"/>
          <w:szCs w:val="16"/>
        </w:rPr>
        <w:t>65 Route de Saint-Pierre-d’Irube, 64990 Villefranque</w:t>
      </w:r>
      <w:r w:rsidRPr="00BF45E0">
        <w:rPr>
          <w:sz w:val="24"/>
          <w:szCs w:val="24"/>
        </w:rPr>
        <w:br/>
      </w:r>
      <w:r w:rsidR="005032F3" w:rsidRPr="00BF45E0">
        <w:rPr>
          <w:sz w:val="18"/>
          <w:szCs w:val="18"/>
        </w:rPr>
        <w:t>Tél : 05 59 44 93 13 - Fax : 05 59 44 95 63</w:t>
      </w:r>
      <w:r w:rsidRPr="00BF45E0">
        <w:rPr>
          <w:sz w:val="18"/>
          <w:szCs w:val="18"/>
        </w:rPr>
        <w:br/>
      </w:r>
      <w:hyperlink r:id="rId9" w:history="1">
        <w:r w:rsidRPr="00BF45E0">
          <w:rPr>
            <w:rStyle w:val="Lienhypertexte"/>
            <w:sz w:val="18"/>
            <w:szCs w:val="18"/>
          </w:rPr>
          <w:t>www.villefranque.fr</w:t>
        </w:r>
      </w:hyperlink>
      <w:r w:rsidR="00916F7A" w:rsidRPr="00BF45E0">
        <w:rPr>
          <w:sz w:val="18"/>
          <w:szCs w:val="18"/>
        </w:rPr>
        <w:t xml:space="preserve"> </w:t>
      </w:r>
      <w:r w:rsidR="005032F3" w:rsidRPr="00BF45E0">
        <w:rPr>
          <w:sz w:val="18"/>
          <w:szCs w:val="18"/>
        </w:rPr>
        <w:t xml:space="preserve"> • </w:t>
      </w:r>
      <w:hyperlink r:id="rId10" w:history="1">
        <w:r w:rsidR="00916F7A" w:rsidRPr="00BF45E0">
          <w:rPr>
            <w:rStyle w:val="Lienhypertexte"/>
            <w:sz w:val="18"/>
            <w:szCs w:val="18"/>
          </w:rPr>
          <w:t>mairie-villefranque@wanadoo.fr</w:t>
        </w:r>
      </w:hyperlink>
    </w:p>
    <w:p w14:paraId="322115AA" w14:textId="77777777" w:rsidR="009B0B6D" w:rsidRPr="00BF45E0" w:rsidRDefault="005032F3" w:rsidP="00F714BB">
      <w:pPr>
        <w:spacing w:before="480" w:after="0" w:line="276" w:lineRule="auto"/>
        <w:ind w:left="0" w:right="-22" w:hanging="11"/>
        <w:jc w:val="center"/>
        <w:rPr>
          <w:b/>
          <w:bCs/>
          <w:sz w:val="28"/>
          <w:szCs w:val="28"/>
        </w:rPr>
      </w:pPr>
      <w:r w:rsidRPr="00BF45E0">
        <w:rPr>
          <w:b/>
          <w:bCs/>
          <w:sz w:val="28"/>
          <w:szCs w:val="28"/>
        </w:rPr>
        <w:t>Commune de VILLEFRANQUE - 64990</w:t>
      </w:r>
    </w:p>
    <w:p w14:paraId="3A48E0BE" w14:textId="77777777" w:rsidR="009B0B6D" w:rsidRPr="00BF45E0" w:rsidRDefault="005032F3" w:rsidP="00F714BB">
      <w:pPr>
        <w:pStyle w:val="Titre1"/>
      </w:pPr>
      <w:r w:rsidRPr="00BF45E0">
        <w:t>Arrêté portant règlement du columbarium et du jardin du souvenir au cimetière paysager</w:t>
      </w:r>
    </w:p>
    <w:p w14:paraId="18E2A587" w14:textId="77777777" w:rsidR="009B0B6D" w:rsidRPr="00BF45E0" w:rsidRDefault="005032F3" w:rsidP="00F714BB">
      <w:pPr>
        <w:spacing w:line="276" w:lineRule="auto"/>
        <w:ind w:left="0" w:right="43"/>
        <w:jc w:val="left"/>
        <w:rPr>
          <w:sz w:val="24"/>
          <w:szCs w:val="24"/>
        </w:rPr>
      </w:pPr>
      <w:r w:rsidRPr="00BF45E0">
        <w:rPr>
          <w:sz w:val="24"/>
          <w:szCs w:val="24"/>
        </w:rPr>
        <w:t>L</w:t>
      </w:r>
      <w:r w:rsidRPr="00BF45E0">
        <w:rPr>
          <w:sz w:val="24"/>
          <w:szCs w:val="24"/>
        </w:rPr>
        <w:t>e Maire de la Commune de Villefranque,</w:t>
      </w:r>
    </w:p>
    <w:p w14:paraId="54CD84DB" w14:textId="121D416F" w:rsidR="009B0B6D" w:rsidRPr="00BF45E0" w:rsidRDefault="005032F3" w:rsidP="00F714BB">
      <w:pPr>
        <w:pStyle w:val="Paragraphedeliste"/>
        <w:numPr>
          <w:ilvl w:val="0"/>
          <w:numId w:val="3"/>
        </w:numPr>
        <w:spacing w:line="276" w:lineRule="auto"/>
        <w:ind w:left="284" w:right="43"/>
        <w:jc w:val="left"/>
        <w:rPr>
          <w:sz w:val="24"/>
          <w:szCs w:val="24"/>
        </w:rPr>
      </w:pPr>
      <w:r w:rsidRPr="00BF45E0">
        <w:rPr>
          <w:sz w:val="24"/>
          <w:szCs w:val="24"/>
        </w:rPr>
        <w:t>Vu le Code général des collectivités territoriales et notamment ses articles L.2213-8,</w:t>
      </w:r>
      <w:r w:rsidR="00F714BB" w:rsidRPr="00BF45E0">
        <w:rPr>
          <w:sz w:val="24"/>
          <w:szCs w:val="24"/>
        </w:rPr>
        <w:t xml:space="preserve"> </w:t>
      </w:r>
      <w:r w:rsidRPr="00BF45E0">
        <w:rPr>
          <w:sz w:val="24"/>
          <w:szCs w:val="24"/>
        </w:rPr>
        <w:t>L.2223-2, R.2213-39, R.2223-9 et R.2223-23-2 et suivants,</w:t>
      </w:r>
    </w:p>
    <w:p w14:paraId="6B6E9DD2" w14:textId="77777777" w:rsidR="009B0B6D" w:rsidRPr="00BF45E0" w:rsidRDefault="005032F3" w:rsidP="00F714BB">
      <w:pPr>
        <w:pStyle w:val="Paragraphedeliste"/>
        <w:numPr>
          <w:ilvl w:val="0"/>
          <w:numId w:val="3"/>
        </w:numPr>
        <w:spacing w:after="221" w:line="276" w:lineRule="auto"/>
        <w:ind w:left="284" w:right="43"/>
        <w:jc w:val="left"/>
        <w:rPr>
          <w:sz w:val="24"/>
          <w:szCs w:val="24"/>
        </w:rPr>
      </w:pPr>
      <w:r w:rsidRPr="00BF45E0">
        <w:rPr>
          <w:sz w:val="24"/>
          <w:szCs w:val="24"/>
        </w:rPr>
        <w:t>Vu la délibération du conseil municipal du 11 avril 2016 et le tarif voté par le conseil municipal,</w:t>
      </w:r>
    </w:p>
    <w:p w14:paraId="0DA98072" w14:textId="0EC4841D" w:rsidR="009B0B6D" w:rsidRPr="00BF45E0" w:rsidRDefault="0000150C" w:rsidP="00193015">
      <w:pPr>
        <w:spacing w:after="180" w:line="276" w:lineRule="auto"/>
        <w:ind w:left="0" w:firstLine="0"/>
        <w:jc w:val="center"/>
        <w:rPr>
          <w:b/>
          <w:bCs/>
          <w:caps/>
          <w:sz w:val="28"/>
          <w:szCs w:val="28"/>
        </w:rPr>
      </w:pPr>
      <w:r w:rsidRPr="00BF45E0">
        <w:rPr>
          <w:b/>
          <w:bCs/>
          <w:caps/>
          <w:sz w:val="28"/>
          <w:szCs w:val="28"/>
        </w:rPr>
        <w:t>Arrête :</w:t>
      </w:r>
    </w:p>
    <w:p w14:paraId="3AB15255" w14:textId="0ED96664"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Le régime applicable aux concessions de case au columbarium est le suivant</w:t>
      </w:r>
    </w:p>
    <w:p w14:paraId="3FB05435" w14:textId="77777777" w:rsidR="009B0B6D" w:rsidRPr="00BF45E0" w:rsidRDefault="005032F3" w:rsidP="005176BC">
      <w:pPr>
        <w:spacing w:after="130" w:line="276" w:lineRule="auto"/>
        <w:ind w:left="0" w:right="43"/>
        <w:jc w:val="left"/>
        <w:rPr>
          <w:sz w:val="24"/>
          <w:szCs w:val="24"/>
        </w:rPr>
      </w:pPr>
      <w:r w:rsidRPr="00BF45E0">
        <w:rPr>
          <w:sz w:val="24"/>
          <w:szCs w:val="24"/>
        </w:rPr>
        <w:t>L</w:t>
      </w:r>
      <w:r w:rsidRPr="00BF45E0">
        <w:rPr>
          <w:sz w:val="24"/>
          <w:szCs w:val="24"/>
        </w:rPr>
        <w:t>es cases du columbarium sont réservées aux cendres des corps des personnes :</w:t>
      </w:r>
    </w:p>
    <w:p w14:paraId="6A9B3A1C" w14:textId="08D9B79D" w:rsidR="009B0B6D" w:rsidRPr="00BF45E0" w:rsidRDefault="005032F3" w:rsidP="005176BC">
      <w:pPr>
        <w:numPr>
          <w:ilvl w:val="0"/>
          <w:numId w:val="1"/>
        </w:numPr>
        <w:spacing w:after="63" w:line="276" w:lineRule="auto"/>
        <w:ind w:left="567" w:right="43" w:hanging="344"/>
        <w:jc w:val="left"/>
        <w:rPr>
          <w:sz w:val="24"/>
          <w:szCs w:val="24"/>
        </w:rPr>
      </w:pPr>
      <w:r w:rsidRPr="00BF45E0">
        <w:rPr>
          <w:sz w:val="24"/>
          <w:szCs w:val="24"/>
        </w:rPr>
        <w:t xml:space="preserve">décédées sur le territoire de la commune de </w:t>
      </w:r>
      <w:r w:rsidR="00BF45E0" w:rsidRPr="00BF45E0">
        <w:rPr>
          <w:caps/>
          <w:sz w:val="24"/>
          <w:szCs w:val="24"/>
        </w:rPr>
        <w:t>Villefranque</w:t>
      </w:r>
      <w:r w:rsidRPr="00BF45E0">
        <w:rPr>
          <w:sz w:val="24"/>
          <w:szCs w:val="24"/>
        </w:rPr>
        <w:t>, quel que soit leur domicile ;</w:t>
      </w:r>
    </w:p>
    <w:p w14:paraId="6011419A" w14:textId="1F1B819D" w:rsidR="009B0B6D" w:rsidRPr="00BF45E0" w:rsidRDefault="005032F3" w:rsidP="00BF45E0">
      <w:pPr>
        <w:numPr>
          <w:ilvl w:val="0"/>
          <w:numId w:val="1"/>
        </w:numPr>
        <w:spacing w:after="159" w:line="276" w:lineRule="auto"/>
        <w:ind w:left="0" w:right="43" w:firstLine="223"/>
        <w:jc w:val="left"/>
        <w:rPr>
          <w:sz w:val="24"/>
          <w:szCs w:val="24"/>
        </w:rPr>
      </w:pPr>
      <w:r w:rsidRPr="00BF45E0">
        <w:rPr>
          <w:sz w:val="24"/>
          <w:szCs w:val="24"/>
        </w:rPr>
        <w:t xml:space="preserve">domiciliées à </w:t>
      </w:r>
      <w:r w:rsidR="00BF45E0" w:rsidRPr="00BF45E0">
        <w:rPr>
          <w:caps/>
          <w:sz w:val="24"/>
          <w:szCs w:val="24"/>
        </w:rPr>
        <w:t>Villefranque</w:t>
      </w:r>
      <w:r w:rsidRPr="00BF45E0">
        <w:rPr>
          <w:sz w:val="24"/>
          <w:szCs w:val="24"/>
        </w:rPr>
        <w:t>, quel que soit le lieu où elles sont décédées. Pour les personnes sans résidence fixe, leur rattachement administratif à une commune les assimile aux personnes qui y sont domiciliées et leur donne droit à inhumation dans le cimetière de cette commune.</w:t>
      </w:r>
    </w:p>
    <w:p w14:paraId="110E8D56" w14:textId="77777777" w:rsidR="009B0B6D" w:rsidRPr="00BF45E0" w:rsidRDefault="005032F3" w:rsidP="00A956FC">
      <w:pPr>
        <w:numPr>
          <w:ilvl w:val="0"/>
          <w:numId w:val="1"/>
        </w:numPr>
        <w:spacing w:after="159" w:line="276" w:lineRule="auto"/>
        <w:ind w:left="0" w:right="43" w:firstLine="223"/>
        <w:jc w:val="left"/>
        <w:rPr>
          <w:sz w:val="24"/>
          <w:szCs w:val="24"/>
        </w:rPr>
      </w:pPr>
      <w:r w:rsidRPr="00BF45E0">
        <w:rPr>
          <w:sz w:val="24"/>
          <w:szCs w:val="24"/>
        </w:rPr>
        <w:drawing>
          <wp:anchor distT="0" distB="0" distL="114300" distR="114300" simplePos="0" relativeHeight="251658240" behindDoc="0" locked="0" layoutInCell="1" allowOverlap="1" wp14:anchorId="57262D58" wp14:editId="6EA65DB6">
            <wp:simplePos x="0" y="0"/>
            <wp:positionH relativeFrom="page">
              <wp:posOffset>6684264</wp:posOffset>
            </wp:positionH>
            <wp:positionV relativeFrom="page">
              <wp:posOffset>5390388</wp:posOffset>
            </wp:positionV>
            <wp:extent cx="4572" cy="4572"/>
            <wp:effectExtent l="0" t="0" r="0" b="0"/>
            <wp:wrapSquare wrapText="bothSides"/>
            <wp:docPr id="2" name="Picture 3572"/>
            <wp:cNvGraphicFramePr/>
            <a:graphic xmlns:a="http://schemas.openxmlformats.org/drawingml/2006/main">
              <a:graphicData uri="http://schemas.openxmlformats.org/drawingml/2006/picture">
                <pic:pic xmlns:pic="http://schemas.openxmlformats.org/drawingml/2006/picture">
                  <pic:nvPicPr>
                    <pic:cNvPr id="5" name="Picture 3572"/>
                    <pic:cNvPicPr/>
                  </pic:nvPicPr>
                  <pic:blipFill>
                    <a:blip r:embed="rId11"/>
                    <a:stretch/>
                  </pic:blipFill>
                  <pic:spPr bwMode="auto">
                    <a:xfrm>
                      <a:off x="0" y="0"/>
                      <a:ext cx="4572" cy="4572"/>
                    </a:xfrm>
                    <a:prstGeom prst="rect">
                      <a:avLst/>
                    </a:prstGeom>
                  </pic:spPr>
                </pic:pic>
              </a:graphicData>
            </a:graphic>
          </wp:anchor>
        </w:drawing>
      </w:r>
      <w:r w:rsidRPr="00BF45E0">
        <w:rPr>
          <w:sz w:val="24"/>
          <w:szCs w:val="24"/>
        </w:rPr>
        <w:t>non domiciliées dans la commune mais qui y ont droit à une sépulture de famille (c'est-à-dire les titulaires d'une concession mais aussi toutes les personnes qui ont droit à être inhumées soit dans une concession collective soit dans une concession dite de famille),</w:t>
      </w:r>
    </w:p>
    <w:p w14:paraId="7650CE4B" w14:textId="77777777" w:rsidR="009B0B6D" w:rsidRPr="00BF45E0" w:rsidRDefault="005032F3" w:rsidP="00A956FC">
      <w:pPr>
        <w:spacing w:after="126" w:line="276" w:lineRule="auto"/>
        <w:ind w:left="0" w:right="43"/>
        <w:jc w:val="left"/>
        <w:rPr>
          <w:sz w:val="24"/>
          <w:szCs w:val="24"/>
        </w:rPr>
      </w:pPr>
      <w:r w:rsidRPr="00BF45E0">
        <w:rPr>
          <w:sz w:val="24"/>
          <w:szCs w:val="24"/>
        </w:rPr>
        <w:t>ainsi qu'aux Français établis hors de France n'ayant pas une sépulture de famille dans la commune et qui sont inscrits sur la liste électorale de celle-ci.</w:t>
      </w:r>
    </w:p>
    <w:p w14:paraId="1506F9FA" w14:textId="77777777" w:rsidR="009B0B6D" w:rsidRPr="00BF45E0" w:rsidRDefault="005032F3" w:rsidP="00A24BD1">
      <w:pPr>
        <w:spacing w:after="360" w:line="276" w:lineRule="auto"/>
        <w:ind w:left="0" w:right="45" w:hanging="6"/>
        <w:jc w:val="left"/>
        <w:rPr>
          <w:sz w:val="24"/>
          <w:szCs w:val="24"/>
        </w:rPr>
      </w:pPr>
      <w:r w:rsidRPr="00BF45E0">
        <w:rPr>
          <w:sz w:val="24"/>
          <w:szCs w:val="24"/>
        </w:rPr>
        <w:t>Le Maire ne peut s'opposer à l'inhumation de ces personnes que pour des motifs d'intérêt public. Le Maire conserve la possibilité d'autoriser l'inhumation dans sa commune des personnes ne rentrant dans aucune des quatre catégories susvisées.</w:t>
      </w:r>
    </w:p>
    <w:p w14:paraId="47B0A07F" w14:textId="4828BA6D"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Dimensions de la concession</w:t>
      </w:r>
    </w:p>
    <w:p w14:paraId="5E09F636" w14:textId="77777777" w:rsidR="009B0B6D" w:rsidRPr="00BF45E0" w:rsidRDefault="005032F3" w:rsidP="00E1527D">
      <w:pPr>
        <w:spacing w:after="261" w:line="276" w:lineRule="auto"/>
        <w:ind w:left="0" w:right="43"/>
        <w:jc w:val="left"/>
        <w:rPr>
          <w:sz w:val="24"/>
          <w:szCs w:val="24"/>
        </w:rPr>
      </w:pPr>
      <w:r w:rsidRPr="00BF45E0">
        <w:rPr>
          <w:sz w:val="24"/>
          <w:szCs w:val="24"/>
        </w:rPr>
        <w:t>L</w:t>
      </w:r>
      <w:r w:rsidRPr="00BF45E0">
        <w:rPr>
          <w:sz w:val="24"/>
          <w:szCs w:val="24"/>
        </w:rPr>
        <w:t>e columbarium est divisé en vingt et une (21) cases.</w:t>
      </w:r>
    </w:p>
    <w:p w14:paraId="3F3759CC" w14:textId="43D9C489" w:rsidR="009B0B6D" w:rsidRPr="00BF45E0" w:rsidRDefault="005032F3" w:rsidP="00A24BD1">
      <w:pPr>
        <w:spacing w:after="360" w:line="276" w:lineRule="auto"/>
        <w:ind w:left="0" w:right="45" w:hanging="6"/>
        <w:jc w:val="left"/>
        <w:rPr>
          <w:sz w:val="24"/>
          <w:szCs w:val="24"/>
        </w:rPr>
      </w:pPr>
      <w:r w:rsidRPr="00BF45E0">
        <w:rPr>
          <w:sz w:val="24"/>
          <w:szCs w:val="24"/>
        </w:rPr>
        <w:t>Chaque case d'une dimension de 50</w:t>
      </w:r>
      <w:r w:rsidRPr="00BF45E0">
        <w:rPr>
          <w:sz w:val="24"/>
          <w:szCs w:val="24"/>
        </w:rPr>
        <w:t>cm x 50</w:t>
      </w:r>
      <w:r w:rsidRPr="00BF45E0">
        <w:rPr>
          <w:sz w:val="24"/>
          <w:szCs w:val="24"/>
        </w:rPr>
        <w:t>cm est destinée à accueillir 4 urnes de 20</w:t>
      </w:r>
      <w:r w:rsidRPr="00BF45E0">
        <w:rPr>
          <w:sz w:val="24"/>
          <w:szCs w:val="24"/>
        </w:rPr>
        <w:t>cm de diamètre ; les familles sont informées de ces dimensions et ne peuvent en aucun cas demander d'indemnisation ou de dégrèvement du tarif de la concession dans l'hypothèse où la dimension des urnes choisies ne permettrait pas le dépôt de 4 urnes dans la case concédée ; les familles qui choisiraient des urnes de petite taille ne pourront en aucun cas en déposer plus de 4 par case.</w:t>
      </w:r>
    </w:p>
    <w:p w14:paraId="497CBB54" w14:textId="6DB5DB06"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 xml:space="preserve">Durée de la concession </w:t>
      </w:r>
      <w:r w:rsidR="00A24BD1" w:rsidRPr="005032F3">
        <w:rPr>
          <w:u w:val="none"/>
        </w:rPr>
        <w:t xml:space="preserve">- </w:t>
      </w:r>
      <w:r w:rsidRPr="005032F3">
        <w:rPr>
          <w:u w:val="none"/>
        </w:rPr>
        <w:t xml:space="preserve">tarif </w:t>
      </w:r>
      <w:r w:rsidR="00A24BD1" w:rsidRPr="005032F3">
        <w:rPr>
          <w:u w:val="none"/>
        </w:rPr>
        <w:t>-</w:t>
      </w:r>
      <w:r w:rsidRPr="005032F3">
        <w:rPr>
          <w:u w:val="none"/>
        </w:rPr>
        <w:t xml:space="preserve"> renouvellement</w:t>
      </w:r>
    </w:p>
    <w:p w14:paraId="512B65A6" w14:textId="67990D79" w:rsidR="009B0B6D" w:rsidRPr="00BF45E0" w:rsidRDefault="005032F3" w:rsidP="00371961">
      <w:pPr>
        <w:spacing w:line="276" w:lineRule="auto"/>
        <w:ind w:left="0" w:right="3614"/>
        <w:jc w:val="left"/>
        <w:rPr>
          <w:sz w:val="24"/>
          <w:szCs w:val="24"/>
        </w:rPr>
      </w:pPr>
      <w:r w:rsidRPr="00BF45E0">
        <w:rPr>
          <w:sz w:val="24"/>
          <w:szCs w:val="24"/>
        </w:rPr>
        <w:t>L</w:t>
      </w:r>
      <w:r w:rsidRPr="00BF45E0">
        <w:rPr>
          <w:sz w:val="24"/>
          <w:szCs w:val="24"/>
        </w:rPr>
        <w:t>es cases sont concédées pour une durée de 30 ans, renouvelable Le prix de la case concédée est de sept cents euros (700</w:t>
      </w:r>
      <w:r w:rsidRPr="00BF45E0">
        <w:rPr>
          <w:sz w:val="24"/>
          <w:szCs w:val="24"/>
        </w:rPr>
        <w:t>€).</w:t>
      </w:r>
    </w:p>
    <w:p w14:paraId="08E76CDF" w14:textId="77777777" w:rsidR="009B0B6D" w:rsidRPr="00BF45E0" w:rsidRDefault="005032F3" w:rsidP="00371961">
      <w:pPr>
        <w:spacing w:line="276" w:lineRule="auto"/>
        <w:ind w:left="0" w:right="43"/>
        <w:jc w:val="left"/>
        <w:rPr>
          <w:sz w:val="24"/>
          <w:szCs w:val="24"/>
        </w:rPr>
      </w:pPr>
      <w:r w:rsidRPr="00BF45E0">
        <w:rPr>
          <w:sz w:val="24"/>
          <w:szCs w:val="24"/>
        </w:rPr>
        <w:t>Le renouvellement de la concession doit être demandé au plus tard dans les deux ans qui suivent la date d'expiration.</w:t>
      </w:r>
    </w:p>
    <w:p w14:paraId="31485924" w14:textId="77777777" w:rsidR="009B0B6D" w:rsidRPr="00BF45E0" w:rsidRDefault="005032F3" w:rsidP="00371961">
      <w:pPr>
        <w:spacing w:line="276" w:lineRule="auto"/>
        <w:ind w:left="0" w:right="43"/>
        <w:jc w:val="left"/>
        <w:rPr>
          <w:sz w:val="24"/>
          <w:szCs w:val="24"/>
        </w:rPr>
      </w:pPr>
      <w:r w:rsidRPr="00BF45E0">
        <w:rPr>
          <w:sz w:val="24"/>
          <w:szCs w:val="24"/>
        </w:rPr>
        <w:t>Le tarif appliqué pour le renouvellement est celui en vigueur à la date d'expiration de la concession,</w:t>
      </w:r>
    </w:p>
    <w:p w14:paraId="3F908169" w14:textId="77777777" w:rsidR="009B0B6D" w:rsidRPr="00BF45E0" w:rsidRDefault="005032F3" w:rsidP="00371961">
      <w:pPr>
        <w:spacing w:line="276" w:lineRule="auto"/>
        <w:ind w:left="0" w:right="43"/>
        <w:jc w:val="left"/>
        <w:rPr>
          <w:sz w:val="24"/>
          <w:szCs w:val="24"/>
        </w:rPr>
      </w:pPr>
      <w:r w:rsidRPr="00BF45E0">
        <w:rPr>
          <w:sz w:val="24"/>
          <w:szCs w:val="24"/>
        </w:rPr>
        <w:t>La commune reprend les cases à l'expiration du délai de deux ans calculé à compter de la date d'expiration de la concession</w:t>
      </w:r>
    </w:p>
    <w:p w14:paraId="25C16FFD" w14:textId="77777777" w:rsidR="009B0B6D" w:rsidRPr="00BF45E0" w:rsidRDefault="005032F3" w:rsidP="00A24BD1">
      <w:pPr>
        <w:spacing w:after="360" w:line="276" w:lineRule="auto"/>
        <w:ind w:left="0" w:right="45" w:hanging="6"/>
        <w:jc w:val="left"/>
        <w:rPr>
          <w:sz w:val="24"/>
          <w:szCs w:val="24"/>
        </w:rPr>
      </w:pPr>
      <w:r w:rsidRPr="00BF45E0">
        <w:rPr>
          <w:sz w:val="24"/>
          <w:szCs w:val="24"/>
        </w:rPr>
        <w:t>Lors de la reprise de la concession, l'urne est déposée dans l'ossuaire communal ou les cendres dispersées dans le jardin du souvenir</w:t>
      </w:r>
    </w:p>
    <w:p w14:paraId="08F20465" w14:textId="3E3BAF75"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Attribution</w:t>
      </w:r>
    </w:p>
    <w:p w14:paraId="479F551B" w14:textId="77777777" w:rsidR="009B0B6D" w:rsidRPr="00BF45E0" w:rsidRDefault="005032F3" w:rsidP="005D065D">
      <w:pPr>
        <w:spacing w:after="83" w:line="276" w:lineRule="auto"/>
        <w:ind w:left="0" w:right="43"/>
        <w:jc w:val="left"/>
        <w:rPr>
          <w:sz w:val="24"/>
          <w:szCs w:val="24"/>
        </w:rPr>
      </w:pPr>
      <w:r w:rsidRPr="00BF45E0">
        <w:rPr>
          <w:sz w:val="24"/>
          <w:szCs w:val="24"/>
        </w:rPr>
        <w:t>L</w:t>
      </w:r>
      <w:r w:rsidRPr="00BF45E0">
        <w:rPr>
          <w:sz w:val="24"/>
          <w:szCs w:val="24"/>
        </w:rPr>
        <w:t>es cases peuvent être attribuées à l'avance ou au moment du dépôt de la demande crémation.</w:t>
      </w:r>
    </w:p>
    <w:p w14:paraId="4690D269" w14:textId="77777777" w:rsidR="009B0B6D" w:rsidRPr="00BF45E0" w:rsidRDefault="005032F3" w:rsidP="005D065D">
      <w:pPr>
        <w:spacing w:after="118" w:line="276" w:lineRule="auto"/>
        <w:ind w:left="0" w:right="43"/>
        <w:jc w:val="left"/>
        <w:rPr>
          <w:sz w:val="24"/>
          <w:szCs w:val="24"/>
        </w:rPr>
      </w:pPr>
      <w:r w:rsidRPr="00BF45E0">
        <w:rPr>
          <w:sz w:val="24"/>
          <w:szCs w:val="24"/>
        </w:rPr>
        <w:t>L'attribution des cases, qui sont numérotées, est faite par la Mairie en respectant l'ordre de distribution ; le concessionnaire ne peut fixer lui-même cet emplacement.</w:t>
      </w:r>
    </w:p>
    <w:p w14:paraId="3CE4EBAC" w14:textId="77777777" w:rsidR="009B0B6D" w:rsidRPr="00BF45E0" w:rsidRDefault="005032F3" w:rsidP="00A24BD1">
      <w:pPr>
        <w:spacing w:after="360" w:line="276" w:lineRule="auto"/>
        <w:ind w:left="0" w:right="45" w:hanging="6"/>
        <w:jc w:val="left"/>
        <w:rPr>
          <w:sz w:val="24"/>
          <w:szCs w:val="24"/>
        </w:rPr>
      </w:pPr>
      <w:r w:rsidRPr="00BF45E0">
        <w:rPr>
          <w:sz w:val="24"/>
          <w:szCs w:val="24"/>
        </w:rPr>
        <w:t>L'autorisation de déposer ou de retirer une urne d'une case est accordée par le Maire (au vu du certificat de crémation pour ce qui concerne le dépôt),</w:t>
      </w:r>
    </w:p>
    <w:p w14:paraId="3532040B" w14:textId="769AB4BA"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Droit à usage de case</w:t>
      </w:r>
    </w:p>
    <w:p w14:paraId="5AD1FCAD" w14:textId="77777777" w:rsidR="009B0B6D" w:rsidRPr="00BF45E0" w:rsidRDefault="005032F3" w:rsidP="005D065D">
      <w:pPr>
        <w:spacing w:after="111" w:line="276" w:lineRule="auto"/>
        <w:ind w:left="0" w:right="43"/>
        <w:jc w:val="left"/>
        <w:rPr>
          <w:sz w:val="24"/>
          <w:szCs w:val="24"/>
        </w:rPr>
      </w:pPr>
      <w:r w:rsidRPr="00BF45E0">
        <w:rPr>
          <w:sz w:val="24"/>
          <w:szCs w:val="24"/>
        </w:rPr>
        <w:t>S</w:t>
      </w:r>
      <w:r w:rsidRPr="00BF45E0">
        <w:rPr>
          <w:sz w:val="24"/>
          <w:szCs w:val="24"/>
        </w:rPr>
        <w:t>auf stipulations contraires formulées par le pétitionnaire, les concessions sont accordées sous la forme de concessions dites « de famille ». Le cas échéant, le caractère individuel ou collectif de la concession sera expressément mentionné sur le titre.</w:t>
      </w:r>
    </w:p>
    <w:p w14:paraId="44D75B27" w14:textId="77777777" w:rsidR="009B0B6D" w:rsidRPr="00BF45E0" w:rsidRDefault="005032F3" w:rsidP="00A24BD1">
      <w:pPr>
        <w:spacing w:after="360" w:line="276" w:lineRule="auto"/>
        <w:ind w:left="0" w:right="45" w:hanging="6"/>
        <w:jc w:val="left"/>
        <w:rPr>
          <w:sz w:val="24"/>
          <w:szCs w:val="24"/>
        </w:rPr>
      </w:pPr>
      <w:r w:rsidRPr="00BF45E0">
        <w:rPr>
          <w:sz w:val="24"/>
          <w:szCs w:val="24"/>
        </w:rPr>
        <w:t>Un héritier peut devoir justifier de sa qualité et de ses droits par la production d'un certificat d'hérédité délivré par un notaire ; il n'utilisera cette concession en faveur de parents ou alliés étrangers à la concession, qu'avec le consentement écrit de tous les ayants droits à la concession.</w:t>
      </w:r>
    </w:p>
    <w:p w14:paraId="14D0CD00" w14:textId="4215E9E6"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 xml:space="preserve">Personnalisation </w:t>
      </w:r>
      <w:r w:rsidR="00A24BD1" w:rsidRPr="005032F3">
        <w:rPr>
          <w:u w:val="none"/>
        </w:rPr>
        <w:t>-</w:t>
      </w:r>
      <w:r w:rsidRPr="005032F3">
        <w:rPr>
          <w:u w:val="none"/>
        </w:rPr>
        <w:t xml:space="preserve"> entretien </w:t>
      </w:r>
      <w:r w:rsidR="00A24BD1" w:rsidRPr="005032F3">
        <w:rPr>
          <w:u w:val="none"/>
        </w:rPr>
        <w:t>-</w:t>
      </w:r>
      <w:r w:rsidRPr="005032F3">
        <w:rPr>
          <w:u w:val="none"/>
        </w:rPr>
        <w:t xml:space="preserve"> décoration du columbarium</w:t>
      </w:r>
    </w:p>
    <w:p w14:paraId="295526B5" w14:textId="77777777" w:rsidR="009B0B6D" w:rsidRPr="00BF45E0" w:rsidRDefault="005032F3" w:rsidP="00A24BD1">
      <w:pPr>
        <w:spacing w:after="95" w:line="276" w:lineRule="auto"/>
        <w:ind w:left="0" w:right="43"/>
        <w:jc w:val="left"/>
        <w:rPr>
          <w:sz w:val="24"/>
          <w:szCs w:val="24"/>
        </w:rPr>
      </w:pPr>
      <w:r w:rsidRPr="00BF45E0">
        <w:rPr>
          <w:sz w:val="24"/>
          <w:szCs w:val="24"/>
        </w:rPr>
        <w:t>L</w:t>
      </w:r>
      <w:r w:rsidRPr="00BF45E0">
        <w:rPr>
          <w:sz w:val="24"/>
          <w:szCs w:val="24"/>
        </w:rPr>
        <w:t>es plaques d'identification ne sont pas obligatoires mais sont standardisées sur chaque case d'un même columbarium. Aucune inscription ou épitaphe, autre que les nom, prénoms, date de naissance et de décès du défunt, ou à caractère religieux ou philosophique, ne sera placée ou inscrite sur une case sans être préalablement soumise à l'approbation de l'Administration municipale.</w:t>
      </w:r>
    </w:p>
    <w:p w14:paraId="42BABFF3" w14:textId="77777777" w:rsidR="009B0B6D" w:rsidRPr="00BF45E0" w:rsidRDefault="005032F3" w:rsidP="00A24BD1">
      <w:pPr>
        <w:spacing w:after="115" w:line="276" w:lineRule="auto"/>
        <w:ind w:left="0" w:right="43"/>
        <w:jc w:val="left"/>
        <w:rPr>
          <w:sz w:val="24"/>
          <w:szCs w:val="24"/>
        </w:rPr>
      </w:pPr>
      <w:r w:rsidRPr="00BF45E0">
        <w:rPr>
          <w:sz w:val="24"/>
          <w:szCs w:val="24"/>
        </w:rPr>
        <w:t>Ce visa est également nécessaire pour les changements ou additions que l'on se proposerait de faire aux inscriptions primitives.</w:t>
      </w:r>
    </w:p>
    <w:p w14:paraId="1162B116" w14:textId="77777777" w:rsidR="009B0B6D" w:rsidRPr="00BF45E0" w:rsidRDefault="005032F3" w:rsidP="00A24BD1">
      <w:pPr>
        <w:spacing w:after="99" w:line="276" w:lineRule="auto"/>
        <w:ind w:left="0" w:right="43"/>
        <w:jc w:val="left"/>
        <w:rPr>
          <w:sz w:val="24"/>
          <w:szCs w:val="24"/>
        </w:rPr>
      </w:pPr>
      <w:r w:rsidRPr="00BF45E0">
        <w:rPr>
          <w:sz w:val="24"/>
          <w:szCs w:val="24"/>
        </w:rPr>
        <w:t>Par ailleurs le numéro de concession doit être inscrit sur la plaque.</w:t>
      </w:r>
    </w:p>
    <w:p w14:paraId="12304A60" w14:textId="41C969A6" w:rsidR="009B0B6D" w:rsidRPr="00BF45E0" w:rsidRDefault="005032F3" w:rsidP="00A24BD1">
      <w:pPr>
        <w:spacing w:after="138" w:line="276" w:lineRule="auto"/>
        <w:ind w:left="0" w:right="43"/>
        <w:jc w:val="left"/>
        <w:rPr>
          <w:sz w:val="24"/>
          <w:szCs w:val="24"/>
        </w:rPr>
      </w:pPr>
      <w:r w:rsidRPr="00BF45E0">
        <w:rPr>
          <w:sz w:val="24"/>
          <w:szCs w:val="24"/>
        </w:rPr>
        <w:t xml:space="preserve">Si le concessionnaire ou ses </w:t>
      </w:r>
      <w:r w:rsidR="00A24BD1" w:rsidRPr="00BF45E0">
        <w:rPr>
          <w:sz w:val="24"/>
          <w:szCs w:val="24"/>
        </w:rPr>
        <w:t>ayants-droits</w:t>
      </w:r>
      <w:r w:rsidRPr="00BF45E0">
        <w:rPr>
          <w:sz w:val="24"/>
          <w:szCs w:val="24"/>
        </w:rPr>
        <w:t xml:space="preserve"> souhaitent faire identifier la case, l'identification se fera par une plaque adhésive en matière inoxydable de dimensions 150 mm x 30 mm, mentions en lettres noires sur fond doré.</w:t>
      </w:r>
    </w:p>
    <w:p w14:paraId="61A1ECE3" w14:textId="77777777" w:rsidR="009B0B6D" w:rsidRPr="00BF45E0" w:rsidRDefault="005032F3" w:rsidP="00A24BD1">
      <w:pPr>
        <w:spacing w:after="94" w:line="276" w:lineRule="auto"/>
        <w:ind w:left="0" w:right="43"/>
        <w:jc w:val="left"/>
        <w:rPr>
          <w:sz w:val="24"/>
          <w:szCs w:val="24"/>
        </w:rPr>
      </w:pPr>
      <w:r w:rsidRPr="00BF45E0">
        <w:rPr>
          <w:sz w:val="24"/>
          <w:szCs w:val="24"/>
        </w:rPr>
        <w:t xml:space="preserve">Aucun objet ni ornement funéraire (fleurs artificielles, vases, plaques commémoratives...) ne sera apposé. En cas de non respect, ils seront enlevés sans préavis ni indemnisation. Seuls sont autorisés les médaillons en porcelaine de dimensions 90mm X 70 </w:t>
      </w:r>
      <w:proofErr w:type="spellStart"/>
      <w:r w:rsidRPr="00BF45E0">
        <w:rPr>
          <w:sz w:val="24"/>
          <w:szCs w:val="24"/>
        </w:rPr>
        <w:t>mm.</w:t>
      </w:r>
      <w:proofErr w:type="spellEnd"/>
      <w:r w:rsidRPr="00BF45E0">
        <w:rPr>
          <w:sz w:val="24"/>
          <w:szCs w:val="24"/>
        </w:rPr>
        <w:t xml:space="preserve"> Aucun médaillon ne sera apposé sans l'approbation préalable de l'Administration municipale. Les médaillons seront placés en haut en droite sur la case.</w:t>
      </w:r>
    </w:p>
    <w:p w14:paraId="1C099A28" w14:textId="77777777" w:rsidR="009B0B6D" w:rsidRPr="00BF45E0" w:rsidRDefault="005032F3" w:rsidP="00A24BD1">
      <w:pPr>
        <w:spacing w:after="96" w:line="276" w:lineRule="auto"/>
        <w:ind w:left="0" w:right="43" w:firstLine="58"/>
        <w:jc w:val="left"/>
        <w:rPr>
          <w:sz w:val="24"/>
          <w:szCs w:val="24"/>
        </w:rPr>
      </w:pPr>
      <w:r w:rsidRPr="00BF45E0">
        <w:rPr>
          <w:sz w:val="24"/>
          <w:szCs w:val="24"/>
        </w:rPr>
        <w:t>En raison de l'exiguïté de la place, les dépôts de fleurs naturelles en pot ne sont autorisés que le jour de la cérémonie, L'administration municipale aura le droit de procéder à l'enlèvement des pots et fleurs dès leur flétrissure sans préavis aux familles. Toute plantation ou appropriation de l'espace entourant le columbarium est interdit.</w:t>
      </w:r>
    </w:p>
    <w:p w14:paraId="376BB444" w14:textId="77777777" w:rsidR="009B0B6D" w:rsidRPr="00BF45E0" w:rsidRDefault="005032F3" w:rsidP="00A24BD1">
      <w:pPr>
        <w:spacing w:after="360" w:line="276" w:lineRule="auto"/>
        <w:ind w:left="0" w:right="45" w:hanging="6"/>
        <w:jc w:val="left"/>
        <w:rPr>
          <w:sz w:val="24"/>
          <w:szCs w:val="24"/>
        </w:rPr>
      </w:pPr>
      <w:r w:rsidRPr="00BF45E0">
        <w:rPr>
          <w:sz w:val="24"/>
          <w:szCs w:val="24"/>
        </w:rPr>
        <w:t>Ces mesures concernent aussi le jardin du souvenir.</w:t>
      </w:r>
    </w:p>
    <w:p w14:paraId="39EF7656" w14:textId="08525C61"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Ouverture et fermeture, déplacement des urnes</w:t>
      </w:r>
    </w:p>
    <w:p w14:paraId="329B8EB8" w14:textId="77777777" w:rsidR="009B0B6D" w:rsidRPr="00BF45E0" w:rsidRDefault="005032F3" w:rsidP="00A24BD1">
      <w:pPr>
        <w:spacing w:after="113" w:line="276" w:lineRule="auto"/>
        <w:ind w:left="0" w:right="43"/>
        <w:jc w:val="left"/>
        <w:rPr>
          <w:sz w:val="24"/>
          <w:szCs w:val="24"/>
        </w:rPr>
      </w:pPr>
      <w:r w:rsidRPr="00BF45E0">
        <w:rPr>
          <w:sz w:val="24"/>
          <w:szCs w:val="24"/>
        </w:rPr>
        <w:t>L'ouverture et la fermeture des cases du columbarium seront obligatoirement réalisées par une entreprise des pompes funèbres agrée. La plaque de fermeture est vissée au moyen de 4 vis par l'entreprise le jour du dépôt de l'urne.</w:t>
      </w:r>
    </w:p>
    <w:p w14:paraId="14BEFBA4" w14:textId="77777777" w:rsidR="009B0B6D" w:rsidRPr="00BF45E0" w:rsidRDefault="005032F3" w:rsidP="00A24BD1">
      <w:pPr>
        <w:spacing w:after="360" w:line="276" w:lineRule="auto"/>
        <w:ind w:left="0" w:right="45" w:hanging="6"/>
        <w:jc w:val="left"/>
        <w:rPr>
          <w:sz w:val="24"/>
          <w:szCs w:val="24"/>
        </w:rPr>
      </w:pPr>
      <w:r w:rsidRPr="00BF45E0">
        <w:rPr>
          <w:sz w:val="24"/>
          <w:szCs w:val="24"/>
        </w:rPr>
        <w:t>Les urnes ne pourront être déplacées du c</w:t>
      </w:r>
      <w:r w:rsidRPr="00BF45E0">
        <w:rPr>
          <w:sz w:val="24"/>
          <w:szCs w:val="24"/>
        </w:rPr>
        <w:t>olumbarium avant l'expiration du contrat sans autorisation de l'administration municipale. Cette autorisation pourra être demandée par écrit, seulement soit en vue de la dispersion dans un jardin du souvenir, ou en pleine nature (conformément à la réglementation en vigueur), soit pour un transfert dans une autre commune, soit pour un transfert dans une concession familiale (afin d'y être inhumée ou scellée sur un monument funéraire). La ville reprendra de plein droit et gratuitement la case redevenue libre.</w:t>
      </w:r>
    </w:p>
    <w:p w14:paraId="7DC89166" w14:textId="057B24E0"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Régime applicable au jardin du souvenir</w:t>
      </w:r>
    </w:p>
    <w:p w14:paraId="127EF98F" w14:textId="77777777" w:rsidR="009B0B6D" w:rsidRPr="00BF45E0" w:rsidRDefault="005032F3" w:rsidP="00A24BD1">
      <w:pPr>
        <w:spacing w:after="105" w:line="276" w:lineRule="auto"/>
        <w:ind w:left="0" w:right="43"/>
        <w:jc w:val="left"/>
        <w:rPr>
          <w:sz w:val="24"/>
          <w:szCs w:val="24"/>
        </w:rPr>
      </w:pPr>
      <w:r w:rsidRPr="00BF45E0">
        <w:rPr>
          <w:sz w:val="24"/>
          <w:szCs w:val="24"/>
        </w:rPr>
        <w:t>L</w:t>
      </w:r>
      <w:r w:rsidRPr="00BF45E0">
        <w:rPr>
          <w:sz w:val="24"/>
          <w:szCs w:val="24"/>
        </w:rPr>
        <w:t>a commune en assure l'entretien.</w:t>
      </w:r>
    </w:p>
    <w:p w14:paraId="27C9D6A5" w14:textId="77777777" w:rsidR="00A24BD1" w:rsidRDefault="00A24BD1" w:rsidP="00A24BD1">
      <w:pPr>
        <w:spacing w:after="92" w:line="276" w:lineRule="auto"/>
        <w:ind w:left="0" w:right="43"/>
        <w:jc w:val="left"/>
        <w:rPr>
          <w:sz w:val="24"/>
          <w:szCs w:val="24"/>
        </w:rPr>
      </w:pPr>
      <w:r>
        <w:rPr>
          <w:sz w:val="24"/>
          <w:szCs w:val="24"/>
        </w:rPr>
        <w:t>À</w:t>
      </w:r>
      <w:r w:rsidR="005032F3" w:rsidRPr="00BF45E0">
        <w:rPr>
          <w:sz w:val="24"/>
          <w:szCs w:val="24"/>
        </w:rPr>
        <w:t xml:space="preserve"> la demande de toute personne ayant qualité pour pourvoir aux funérailles, les cendres des défunts peuvent être dispersées au jardin du souvenir. Cette cérémonie s'effectuera obligatoirement par une entreprise des pompes funèbres agrée, après autorisation délivrée par le Maire. La dispersion des cendres sera obligatoirement réalisée dans le puit de dispersion prévu à cet effet.</w:t>
      </w:r>
    </w:p>
    <w:p w14:paraId="3380E83D" w14:textId="77777777" w:rsidR="00A24BD1" w:rsidRDefault="005032F3" w:rsidP="00A24BD1">
      <w:pPr>
        <w:spacing w:after="92" w:line="276" w:lineRule="auto"/>
        <w:ind w:left="0" w:right="43"/>
        <w:jc w:val="left"/>
        <w:rPr>
          <w:sz w:val="24"/>
          <w:szCs w:val="24"/>
        </w:rPr>
      </w:pPr>
      <w:r w:rsidRPr="00BF45E0">
        <w:rPr>
          <w:sz w:val="24"/>
          <w:szCs w:val="24"/>
        </w:rPr>
        <w:t>Pour faciliter les recherches éventuelles, l'identité des défunts dont les cendres ont été dispersées dans le jardin du souvenir sera notée sur un registre conformément à l'article 9 ci-dessous, ainsi que sur l'équipement prévu à cet effet sur le terrain. Il est donc nécessaire d'en informer le service.</w:t>
      </w:r>
    </w:p>
    <w:p w14:paraId="72D5CDB3" w14:textId="6FF8B692" w:rsidR="009B0B6D" w:rsidRPr="00BF45E0" w:rsidRDefault="005032F3" w:rsidP="00A24BD1">
      <w:pPr>
        <w:spacing w:after="92" w:line="276" w:lineRule="auto"/>
        <w:ind w:left="0" w:right="43"/>
        <w:jc w:val="left"/>
        <w:rPr>
          <w:sz w:val="24"/>
          <w:szCs w:val="24"/>
        </w:rPr>
      </w:pPr>
      <w:r w:rsidRPr="00BF45E0">
        <w:rPr>
          <w:sz w:val="24"/>
          <w:szCs w:val="24"/>
        </w:rPr>
        <w:t>L'inscription du nom des défunts sur l'équipement prévu à cet effet est à la charge de la Commune.</w:t>
      </w:r>
    </w:p>
    <w:p w14:paraId="0F413D06" w14:textId="7F88194C" w:rsidR="009B0B6D" w:rsidRPr="005032F3" w:rsidRDefault="005032F3" w:rsidP="005032F3">
      <w:pPr>
        <w:pStyle w:val="Titre2"/>
        <w:numPr>
          <w:ilvl w:val="0"/>
          <w:numId w:val="5"/>
        </w:numPr>
        <w:tabs>
          <w:tab w:val="left" w:pos="1276"/>
        </w:tabs>
        <w:spacing w:after="120"/>
        <w:ind w:left="426" w:right="-23" w:hanging="425"/>
        <w:jc w:val="both"/>
        <w:rPr>
          <w:u w:val="none"/>
        </w:rPr>
      </w:pPr>
      <w:r w:rsidRPr="005032F3">
        <w:rPr>
          <w:u w:val="none"/>
        </w:rPr>
        <w:t>Registre de dépôts d'urnes, d'opérations</w:t>
      </w:r>
    </w:p>
    <w:p w14:paraId="54CEBF5C" w14:textId="77777777" w:rsidR="009B0B6D" w:rsidRPr="00BF45E0" w:rsidRDefault="005032F3" w:rsidP="00B674C4">
      <w:pPr>
        <w:spacing w:after="360" w:line="276" w:lineRule="auto"/>
        <w:ind w:left="0" w:right="45" w:hanging="6"/>
        <w:jc w:val="left"/>
        <w:rPr>
          <w:sz w:val="24"/>
          <w:szCs w:val="24"/>
        </w:rPr>
      </w:pPr>
      <w:r w:rsidRPr="00BF45E0">
        <w:rPr>
          <w:sz w:val="24"/>
          <w:szCs w:val="24"/>
        </w:rPr>
        <w:t>U</w:t>
      </w:r>
      <w:r w:rsidRPr="00BF45E0">
        <w:rPr>
          <w:sz w:val="24"/>
          <w:szCs w:val="24"/>
        </w:rPr>
        <w:t>n registre de l'état du columbarium tenu par l'Administration municipale mentionne, pour chaque case, les noms, prénoms et domicile des personnes inhumées, la date du décès, celle de l'inhumation, ainsi que la date, la durée et le numéro de la concession et son implantation sur le plan général. Si la case est prévue pour recevoir plusieurs urnes, le nombre de places occupées et de places disponibles sera également noté sur le registre après chaque inhumation, ainsi que les autres opérations funéraires exécu</w:t>
      </w:r>
      <w:r w:rsidRPr="00BF45E0">
        <w:rPr>
          <w:sz w:val="24"/>
          <w:szCs w:val="24"/>
        </w:rPr>
        <w:t>tées dans la concession au cours de sa durée : exhumations, . . Le registre mentionne également l'identité des défunts dont les cendres ont été dispersées dans le jardin du souvenir.</w:t>
      </w:r>
    </w:p>
    <w:p w14:paraId="1A8FFE65" w14:textId="68D8D1FB" w:rsidR="009B0B6D" w:rsidRPr="005032F3" w:rsidRDefault="005032F3" w:rsidP="003D5B0D">
      <w:pPr>
        <w:pStyle w:val="Titre2"/>
        <w:numPr>
          <w:ilvl w:val="0"/>
          <w:numId w:val="5"/>
        </w:numPr>
        <w:tabs>
          <w:tab w:val="left" w:pos="1276"/>
        </w:tabs>
        <w:spacing w:after="120"/>
        <w:ind w:left="426" w:right="-23" w:hanging="425"/>
        <w:jc w:val="both"/>
        <w:rPr>
          <w:u w:val="none"/>
        </w:rPr>
      </w:pPr>
      <w:r w:rsidRPr="005032F3">
        <w:rPr>
          <w:u w:val="none"/>
        </w:rPr>
        <w:t>Ampliation du présent arrêté qui sera affiché en mairie et à proximité du site cinéraire, sera transmise à Mme la Sous-Préfète de l'arrondissement de Bayonne.</w:t>
      </w:r>
    </w:p>
    <w:p w14:paraId="52CDCD9E" w14:textId="4DF9F054" w:rsidR="009B0B6D" w:rsidRPr="00BF45E0" w:rsidRDefault="005032F3" w:rsidP="003D5B0D">
      <w:pPr>
        <w:spacing w:before="360" w:after="70" w:line="276" w:lineRule="auto"/>
        <w:ind w:left="5103" w:hanging="11"/>
        <w:jc w:val="left"/>
        <w:rPr>
          <w:sz w:val="24"/>
          <w:szCs w:val="24"/>
        </w:rPr>
      </w:pPr>
      <w:r w:rsidRPr="00BF45E0">
        <w:rPr>
          <w:sz w:val="24"/>
          <w:szCs w:val="24"/>
        </w:rPr>
        <w:t>Fait à VILLEFRANQUE le 6 mars 2019</w:t>
      </w:r>
      <w:r w:rsidR="003D5B0D">
        <w:rPr>
          <w:sz w:val="24"/>
          <w:szCs w:val="24"/>
        </w:rPr>
        <w:br/>
      </w:r>
      <w:r w:rsidRPr="00BF45E0">
        <w:rPr>
          <w:sz w:val="24"/>
          <w:szCs w:val="24"/>
        </w:rPr>
        <w:t>Le Maire,</w:t>
      </w:r>
      <w:r w:rsidR="003D5B0D">
        <w:rPr>
          <w:sz w:val="24"/>
          <w:szCs w:val="24"/>
        </w:rPr>
        <w:br/>
      </w:r>
      <w:r w:rsidRPr="00BF45E0">
        <w:rPr>
          <w:sz w:val="24"/>
          <w:szCs w:val="24"/>
        </w:rPr>
        <w:t xml:space="preserve">Robert DUFOURCQ </w:t>
      </w:r>
      <w:r w:rsidRPr="00BF45E0">
        <w:rPr>
          <w:noProof/>
          <w:sz w:val="24"/>
          <w:szCs w:val="24"/>
        </w:rPr>
        <w:drawing>
          <wp:inline distT="0" distB="0" distL="0" distR="0" wp14:anchorId="7F65F9A9" wp14:editId="0885AE12">
            <wp:extent cx="1490472" cy="1028699"/>
            <wp:effectExtent l="0" t="0" r="0" b="0"/>
            <wp:docPr id="3" name="Picture 96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9618">
                      <a:extLst>
                        <a:ext uri="{C183D7F6-B498-43B3-948B-1728B52AA6E4}">
                          <adec:decorative xmlns:adec="http://schemas.microsoft.com/office/drawing/2017/decorative" val="1"/>
                        </a:ext>
                      </a:extLst>
                    </pic:cNvPr>
                    <pic:cNvPicPr/>
                  </pic:nvPicPr>
                  <pic:blipFill>
                    <a:blip r:embed="rId12"/>
                    <a:stretch/>
                  </pic:blipFill>
                  <pic:spPr bwMode="auto">
                    <a:xfrm>
                      <a:off x="0" y="0"/>
                      <a:ext cx="1490472" cy="1028699"/>
                    </a:xfrm>
                    <a:prstGeom prst="rect">
                      <a:avLst/>
                    </a:prstGeom>
                  </pic:spPr>
                </pic:pic>
              </a:graphicData>
            </a:graphic>
          </wp:inline>
        </w:drawing>
      </w:r>
    </w:p>
    <w:p w14:paraId="6350F813" w14:textId="6DEC51DB" w:rsidR="002D15DE" w:rsidRDefault="005032F3" w:rsidP="00EB6CFB">
      <w:pPr>
        <w:spacing w:before="1200" w:after="0" w:line="276" w:lineRule="auto"/>
        <w:ind w:left="11" w:right="3255" w:hanging="11"/>
        <w:jc w:val="left"/>
        <w:rPr>
          <w:sz w:val="24"/>
          <w:szCs w:val="24"/>
        </w:rPr>
      </w:pPr>
      <w:r w:rsidRPr="00BF45E0">
        <w:rPr>
          <w:sz w:val="24"/>
          <w:szCs w:val="24"/>
        </w:rPr>
        <w:t>A</w:t>
      </w:r>
      <w:r w:rsidR="002D15DE">
        <w:rPr>
          <w:sz w:val="24"/>
          <w:szCs w:val="24"/>
        </w:rPr>
        <w:t>cte certifié exécutoire</w:t>
      </w:r>
      <w:r w:rsidR="00C84236">
        <w:rPr>
          <w:sz w:val="24"/>
          <w:szCs w:val="24"/>
        </w:rPr>
        <w:t> :</w:t>
      </w:r>
    </w:p>
    <w:p w14:paraId="4BE383DB" w14:textId="0049125F" w:rsidR="009B0B6D" w:rsidRDefault="005032F3" w:rsidP="00EB6CFB">
      <w:pPr>
        <w:pStyle w:val="Paragraphedeliste"/>
        <w:numPr>
          <w:ilvl w:val="1"/>
          <w:numId w:val="6"/>
        </w:numPr>
        <w:tabs>
          <w:tab w:val="left" w:pos="4253"/>
        </w:tabs>
        <w:spacing w:after="0" w:line="276" w:lineRule="auto"/>
        <w:ind w:left="426" w:right="3255"/>
        <w:jc w:val="left"/>
        <w:rPr>
          <w:sz w:val="24"/>
          <w:szCs w:val="24"/>
        </w:rPr>
      </w:pPr>
      <w:r w:rsidRPr="00C84236">
        <w:rPr>
          <w:sz w:val="24"/>
          <w:szCs w:val="24"/>
        </w:rPr>
        <w:t>Par publicati</w:t>
      </w:r>
      <w:r w:rsidR="00C84236">
        <w:rPr>
          <w:sz w:val="24"/>
          <w:szCs w:val="24"/>
        </w:rPr>
        <w:t>o</w:t>
      </w:r>
      <w:r w:rsidRPr="00C84236">
        <w:rPr>
          <w:sz w:val="24"/>
          <w:szCs w:val="24"/>
        </w:rPr>
        <w:t xml:space="preserve">n </w:t>
      </w:r>
      <w:r w:rsidR="00A0209E">
        <w:rPr>
          <w:sz w:val="24"/>
          <w:szCs w:val="24"/>
        </w:rPr>
        <w:t xml:space="preserve">ou </w:t>
      </w:r>
      <w:proofErr w:type="spellStart"/>
      <w:r w:rsidR="00A0209E">
        <w:rPr>
          <w:sz w:val="24"/>
          <w:szCs w:val="24"/>
        </w:rPr>
        <w:t>notifiaction</w:t>
      </w:r>
      <w:proofErr w:type="spellEnd"/>
      <w:r w:rsidR="00A0209E">
        <w:rPr>
          <w:sz w:val="24"/>
          <w:szCs w:val="24"/>
        </w:rPr>
        <w:t xml:space="preserve"> le 06/03/2019</w:t>
      </w:r>
    </w:p>
    <w:p w14:paraId="0AD72AD7" w14:textId="30DA33A2" w:rsidR="00A0209E" w:rsidRPr="00C84236" w:rsidRDefault="00A0209E" w:rsidP="00EB6CFB">
      <w:pPr>
        <w:pStyle w:val="Paragraphedeliste"/>
        <w:numPr>
          <w:ilvl w:val="1"/>
          <w:numId w:val="6"/>
        </w:numPr>
        <w:tabs>
          <w:tab w:val="left" w:pos="4253"/>
        </w:tabs>
        <w:spacing w:after="0" w:line="276" w:lineRule="auto"/>
        <w:ind w:left="426" w:right="3255"/>
        <w:jc w:val="left"/>
        <w:rPr>
          <w:sz w:val="24"/>
          <w:szCs w:val="24"/>
        </w:rPr>
      </w:pPr>
      <w:r>
        <w:rPr>
          <w:sz w:val="24"/>
          <w:szCs w:val="24"/>
        </w:rPr>
        <w:t xml:space="preserve">Par transmission au Contrôle de </w:t>
      </w:r>
      <w:r w:rsidR="00EB6CFB">
        <w:rPr>
          <w:sz w:val="24"/>
          <w:szCs w:val="24"/>
        </w:rPr>
        <w:t>Légalité le 06/03/2019</w:t>
      </w:r>
    </w:p>
    <w:sectPr w:rsidR="00A0209E" w:rsidRPr="00C84236" w:rsidSect="00F714BB">
      <w:pgSz w:w="11902" w:h="16834"/>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4592" w14:textId="77777777" w:rsidR="009B0B6D" w:rsidRDefault="005032F3">
      <w:pPr>
        <w:spacing w:after="0" w:line="240" w:lineRule="auto"/>
      </w:pPr>
      <w:r>
        <w:separator/>
      </w:r>
    </w:p>
  </w:endnote>
  <w:endnote w:type="continuationSeparator" w:id="0">
    <w:p w14:paraId="30644160" w14:textId="77777777" w:rsidR="009B0B6D" w:rsidRDefault="0050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B74C" w14:textId="77777777" w:rsidR="009B0B6D" w:rsidRDefault="005032F3">
      <w:pPr>
        <w:spacing w:after="0" w:line="240" w:lineRule="auto"/>
      </w:pPr>
      <w:r>
        <w:separator/>
      </w:r>
    </w:p>
  </w:footnote>
  <w:footnote w:type="continuationSeparator" w:id="0">
    <w:p w14:paraId="7BD797CB" w14:textId="77777777" w:rsidR="009B0B6D" w:rsidRDefault="00503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7C33"/>
    <w:multiLevelType w:val="multilevel"/>
    <w:tmpl w:val="006EE9B6"/>
    <w:lvl w:ilvl="0">
      <w:start w:val="1"/>
      <w:numFmt w:val="decimal"/>
      <w:lvlText w:val="Article %1 -"/>
      <w:lvlJc w:val="left"/>
      <w:pPr>
        <w:ind w:left="360" w:hanging="360"/>
      </w:pPr>
      <w:rPr>
        <w:rFonts w:hint="default"/>
        <w:u w:val="single"/>
      </w:rPr>
    </w:lvl>
    <w:lvl w:ilvl="1">
      <w:start w:val="1"/>
      <w:numFmt w:val="decimal"/>
      <w:lvlText w:val="Article %2 -"/>
      <w:lvlJc w:val="left"/>
      <w:pPr>
        <w:ind w:left="720" w:hanging="360"/>
      </w:pPr>
      <w:rPr>
        <w:rFonts w:hint="default"/>
        <w:u w:val="singl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CC7DFB"/>
    <w:multiLevelType w:val="hybridMultilevel"/>
    <w:tmpl w:val="C4581494"/>
    <w:lvl w:ilvl="0" w:tplc="76A4E538">
      <w:start w:val="1"/>
      <w:numFmt w:val="bullet"/>
      <w:lvlText w:val="."/>
      <w:lvlJc w:val="left"/>
      <w:pPr>
        <w:ind w:left="717" w:hanging="360"/>
      </w:pPr>
      <w:rPr>
        <w:rFonts w:ascii="Calibri" w:hAnsi="Calibri" w:hint="default"/>
        <w:b/>
        <w:i w:val="0"/>
        <w:color w:val="000000" w:themeColor="text1"/>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 w15:restartNumberingAfterBreak="0">
    <w:nsid w:val="2CE21323"/>
    <w:multiLevelType w:val="hybridMultilevel"/>
    <w:tmpl w:val="A16C27CA"/>
    <w:lvl w:ilvl="0" w:tplc="EC7CF598">
      <w:start w:val="1"/>
      <w:numFmt w:val="bullet"/>
      <w:lvlText w:val="•"/>
      <w:lvlJc w:val="left"/>
      <w:pPr>
        <w:ind w:left="770"/>
      </w:pPr>
      <w:rPr>
        <w:rFonts w:ascii="Calibri" w:eastAsia="Calibri" w:hAnsi="Calibri" w:cs="Calibri"/>
        <w:b w:val="0"/>
        <w:i w:val="0"/>
        <w:strike w:val="0"/>
        <w:color w:val="000000"/>
        <w:sz w:val="20"/>
        <w:szCs w:val="20"/>
        <w:u w:val="none"/>
        <w:shd w:val="clear" w:color="auto" w:fill="auto"/>
        <w:vertAlign w:val="baseline"/>
      </w:rPr>
    </w:lvl>
    <w:lvl w:ilvl="1" w:tplc="64C0A914">
      <w:start w:val="1"/>
      <w:numFmt w:val="bullet"/>
      <w:lvlText w:val="o"/>
      <w:lvlJc w:val="left"/>
      <w:pPr>
        <w:ind w:left="2424"/>
      </w:pPr>
      <w:rPr>
        <w:rFonts w:ascii="Calibri" w:eastAsia="Calibri" w:hAnsi="Calibri" w:cs="Calibri"/>
        <w:b w:val="0"/>
        <w:i w:val="0"/>
        <w:strike w:val="0"/>
        <w:color w:val="000000"/>
        <w:sz w:val="20"/>
        <w:szCs w:val="20"/>
        <w:u w:val="none"/>
        <w:shd w:val="clear" w:color="auto" w:fill="auto"/>
        <w:vertAlign w:val="baseline"/>
      </w:rPr>
    </w:lvl>
    <w:lvl w:ilvl="2" w:tplc="DA220D4A">
      <w:start w:val="1"/>
      <w:numFmt w:val="bullet"/>
      <w:lvlText w:val="▪"/>
      <w:lvlJc w:val="left"/>
      <w:pPr>
        <w:ind w:left="3144"/>
      </w:pPr>
      <w:rPr>
        <w:rFonts w:ascii="Calibri" w:eastAsia="Calibri" w:hAnsi="Calibri" w:cs="Calibri"/>
        <w:b w:val="0"/>
        <w:i w:val="0"/>
        <w:strike w:val="0"/>
        <w:color w:val="000000"/>
        <w:sz w:val="20"/>
        <w:szCs w:val="20"/>
        <w:u w:val="none"/>
        <w:shd w:val="clear" w:color="auto" w:fill="auto"/>
        <w:vertAlign w:val="baseline"/>
      </w:rPr>
    </w:lvl>
    <w:lvl w:ilvl="3" w:tplc="3F342202">
      <w:start w:val="1"/>
      <w:numFmt w:val="bullet"/>
      <w:lvlText w:val="•"/>
      <w:lvlJc w:val="left"/>
      <w:pPr>
        <w:ind w:left="3864"/>
      </w:pPr>
      <w:rPr>
        <w:rFonts w:ascii="Calibri" w:eastAsia="Calibri" w:hAnsi="Calibri" w:cs="Calibri"/>
        <w:b w:val="0"/>
        <w:i w:val="0"/>
        <w:strike w:val="0"/>
        <w:color w:val="000000"/>
        <w:sz w:val="20"/>
        <w:szCs w:val="20"/>
        <w:u w:val="none"/>
        <w:shd w:val="clear" w:color="auto" w:fill="auto"/>
        <w:vertAlign w:val="baseline"/>
      </w:rPr>
    </w:lvl>
    <w:lvl w:ilvl="4" w:tplc="05562D86">
      <w:start w:val="1"/>
      <w:numFmt w:val="bullet"/>
      <w:lvlText w:val="o"/>
      <w:lvlJc w:val="left"/>
      <w:pPr>
        <w:ind w:left="4584"/>
      </w:pPr>
      <w:rPr>
        <w:rFonts w:ascii="Calibri" w:eastAsia="Calibri" w:hAnsi="Calibri" w:cs="Calibri"/>
        <w:b w:val="0"/>
        <w:i w:val="0"/>
        <w:strike w:val="0"/>
        <w:color w:val="000000"/>
        <w:sz w:val="20"/>
        <w:szCs w:val="20"/>
        <w:u w:val="none"/>
        <w:shd w:val="clear" w:color="auto" w:fill="auto"/>
        <w:vertAlign w:val="baseline"/>
      </w:rPr>
    </w:lvl>
    <w:lvl w:ilvl="5" w:tplc="F58A7076">
      <w:start w:val="1"/>
      <w:numFmt w:val="bullet"/>
      <w:lvlText w:val="▪"/>
      <w:lvlJc w:val="left"/>
      <w:pPr>
        <w:ind w:left="5304"/>
      </w:pPr>
      <w:rPr>
        <w:rFonts w:ascii="Calibri" w:eastAsia="Calibri" w:hAnsi="Calibri" w:cs="Calibri"/>
        <w:b w:val="0"/>
        <w:i w:val="0"/>
        <w:strike w:val="0"/>
        <w:color w:val="000000"/>
        <w:sz w:val="20"/>
        <w:szCs w:val="20"/>
        <w:u w:val="none"/>
        <w:shd w:val="clear" w:color="auto" w:fill="auto"/>
        <w:vertAlign w:val="baseline"/>
      </w:rPr>
    </w:lvl>
    <w:lvl w:ilvl="6" w:tplc="E3F6E0AA">
      <w:start w:val="1"/>
      <w:numFmt w:val="bullet"/>
      <w:lvlText w:val="•"/>
      <w:lvlJc w:val="left"/>
      <w:pPr>
        <w:ind w:left="6024"/>
      </w:pPr>
      <w:rPr>
        <w:rFonts w:ascii="Calibri" w:eastAsia="Calibri" w:hAnsi="Calibri" w:cs="Calibri"/>
        <w:b w:val="0"/>
        <w:i w:val="0"/>
        <w:strike w:val="0"/>
        <w:color w:val="000000"/>
        <w:sz w:val="20"/>
        <w:szCs w:val="20"/>
        <w:u w:val="none"/>
        <w:shd w:val="clear" w:color="auto" w:fill="auto"/>
        <w:vertAlign w:val="baseline"/>
      </w:rPr>
    </w:lvl>
    <w:lvl w:ilvl="7" w:tplc="53C4E6CA">
      <w:start w:val="1"/>
      <w:numFmt w:val="bullet"/>
      <w:lvlText w:val="o"/>
      <w:lvlJc w:val="left"/>
      <w:pPr>
        <w:ind w:left="6744"/>
      </w:pPr>
      <w:rPr>
        <w:rFonts w:ascii="Calibri" w:eastAsia="Calibri" w:hAnsi="Calibri" w:cs="Calibri"/>
        <w:b w:val="0"/>
        <w:i w:val="0"/>
        <w:strike w:val="0"/>
        <w:color w:val="000000"/>
        <w:sz w:val="20"/>
        <w:szCs w:val="20"/>
        <w:u w:val="none"/>
        <w:shd w:val="clear" w:color="auto" w:fill="auto"/>
        <w:vertAlign w:val="baseline"/>
      </w:rPr>
    </w:lvl>
    <w:lvl w:ilvl="8" w:tplc="9408A2A8">
      <w:start w:val="1"/>
      <w:numFmt w:val="bullet"/>
      <w:lvlText w:val="▪"/>
      <w:lvlJc w:val="left"/>
      <w:pPr>
        <w:ind w:left="7464"/>
      </w:pPr>
      <w:rPr>
        <w:rFonts w:ascii="Calibri" w:eastAsia="Calibri" w:hAnsi="Calibri" w:cs="Calibri"/>
        <w:b w:val="0"/>
        <w:i w:val="0"/>
        <w:strike w:val="0"/>
        <w:color w:val="000000"/>
        <w:sz w:val="20"/>
        <w:szCs w:val="20"/>
        <w:u w:val="none"/>
        <w:shd w:val="clear" w:color="auto" w:fill="auto"/>
        <w:vertAlign w:val="baseline"/>
      </w:rPr>
    </w:lvl>
  </w:abstractNum>
  <w:abstractNum w:abstractNumId="3" w15:restartNumberingAfterBreak="0">
    <w:nsid w:val="54CB38D5"/>
    <w:multiLevelType w:val="hybridMultilevel"/>
    <w:tmpl w:val="2F0094CE"/>
    <w:lvl w:ilvl="0" w:tplc="8B025AA0">
      <w:start w:val="1"/>
      <w:numFmt w:val="bullet"/>
      <w:lvlText w:val="‐"/>
      <w:lvlJc w:val="left"/>
      <w:pPr>
        <w:ind w:left="720" w:hanging="360"/>
      </w:pPr>
      <w:rPr>
        <w:rFonts w:ascii="Calibri" w:hAnsi="Calibri" w:hint="default"/>
        <w:color w:val="000000" w:themeColor="text1"/>
      </w:rPr>
    </w:lvl>
    <w:lvl w:ilvl="1" w:tplc="9060176C">
      <w:numFmt w:val="bullet"/>
      <w:lvlText w:val="-"/>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177B7C"/>
    <w:multiLevelType w:val="hybridMultilevel"/>
    <w:tmpl w:val="F9B8AA42"/>
    <w:lvl w:ilvl="0" w:tplc="C770CD3A">
      <w:start w:val="1"/>
      <w:numFmt w:val="bullet"/>
      <w:lvlText w:val="."/>
      <w:lvlJc w:val="left"/>
      <w:pPr>
        <w:ind w:left="717" w:hanging="360"/>
      </w:pPr>
      <w:rPr>
        <w:rFonts w:ascii="Calibri" w:hAnsi="Calibri" w:hint="default"/>
        <w:b/>
        <w:i w:val="0"/>
        <w:color w:val="FFFFFF" w:themeColor="background1"/>
      </w:rPr>
    </w:lvl>
    <w:lvl w:ilvl="1" w:tplc="1F74168E">
      <w:start w:val="1"/>
      <w:numFmt w:val="bullet"/>
      <w:lvlText w:val="-"/>
      <w:lvlJc w:val="left"/>
      <w:pPr>
        <w:ind w:left="1437" w:hanging="360"/>
      </w:pPr>
      <w:rPr>
        <w:rFonts w:ascii="Calibri" w:eastAsia="Calibri" w:hAnsi="Calibri" w:cs="Calibri"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 w15:restartNumberingAfterBreak="0">
    <w:nsid w:val="56780198"/>
    <w:multiLevelType w:val="multilevel"/>
    <w:tmpl w:val="21DA270E"/>
    <w:lvl w:ilvl="0">
      <w:start w:val="1"/>
      <w:numFmt w:val="decimal"/>
      <w:lvlText w:val="%1)"/>
      <w:lvlJc w:val="left"/>
      <w:pPr>
        <w:ind w:left="360" w:hanging="360"/>
      </w:pPr>
      <w:rPr>
        <w:rFonts w:hint="default"/>
      </w:rPr>
    </w:lvl>
    <w:lvl w:ilvl="1">
      <w:start w:val="1"/>
      <w:numFmt w:val="decimal"/>
      <w:lvlText w:val="Article %2 -"/>
      <w:lvlJc w:val="left"/>
      <w:pPr>
        <w:ind w:left="720" w:hanging="360"/>
      </w:pPr>
      <w:rPr>
        <w:rFonts w:hint="default"/>
        <w:u w:val="singl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490141">
    <w:abstractNumId w:val="2"/>
  </w:num>
  <w:num w:numId="2" w16cid:durableId="560602127">
    <w:abstractNumId w:val="1"/>
  </w:num>
  <w:num w:numId="3" w16cid:durableId="474184210">
    <w:abstractNumId w:val="4"/>
  </w:num>
  <w:num w:numId="4" w16cid:durableId="1626958426">
    <w:abstractNumId w:val="5"/>
  </w:num>
  <w:num w:numId="5" w16cid:durableId="954363264">
    <w:abstractNumId w:val="0"/>
  </w:num>
  <w:num w:numId="6" w16cid:durableId="1455060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6D"/>
    <w:rsid w:val="0000150C"/>
    <w:rsid w:val="00193015"/>
    <w:rsid w:val="001C7493"/>
    <w:rsid w:val="00275ED2"/>
    <w:rsid w:val="002D15DE"/>
    <w:rsid w:val="00371961"/>
    <w:rsid w:val="003D5B0D"/>
    <w:rsid w:val="005032F3"/>
    <w:rsid w:val="005176BC"/>
    <w:rsid w:val="005D065D"/>
    <w:rsid w:val="005D69E0"/>
    <w:rsid w:val="007D4196"/>
    <w:rsid w:val="00916F7A"/>
    <w:rsid w:val="009B0B6D"/>
    <w:rsid w:val="00A0209E"/>
    <w:rsid w:val="00A24BD1"/>
    <w:rsid w:val="00A956FC"/>
    <w:rsid w:val="00B674C4"/>
    <w:rsid w:val="00BF45E0"/>
    <w:rsid w:val="00C84236"/>
    <w:rsid w:val="00D63EB5"/>
    <w:rsid w:val="00E1527D"/>
    <w:rsid w:val="00EB6CFB"/>
    <w:rsid w:val="00F50DAB"/>
    <w:rsid w:val="00F7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CFB1"/>
  <w15:docId w15:val="{444D4ED2-1A70-47C2-B92F-60906B32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853" w:hanging="3"/>
      <w:jc w:val="both"/>
    </w:pPr>
    <w:rPr>
      <w:rFonts w:ascii="Calibri" w:eastAsia="Calibri" w:hAnsi="Calibri" w:cs="Calibri"/>
      <w:color w:val="000000"/>
      <w:sz w:val="20"/>
    </w:rPr>
  </w:style>
  <w:style w:type="paragraph" w:styleId="Titre1">
    <w:name w:val="heading 1"/>
    <w:next w:val="Normal"/>
    <w:link w:val="Titre1Car"/>
    <w:uiPriority w:val="9"/>
    <w:qFormat/>
    <w:rsid w:val="00F714BB"/>
    <w:pPr>
      <w:keepNext/>
      <w:keepLines/>
      <w:spacing w:after="219" w:line="276" w:lineRule="auto"/>
      <w:ind w:right="-22" w:hanging="10"/>
      <w:jc w:val="center"/>
      <w:outlineLvl w:val="0"/>
    </w:pPr>
    <w:rPr>
      <w:rFonts w:ascii="Calibri" w:eastAsia="Calibri" w:hAnsi="Calibri" w:cs="Calibri"/>
      <w:b/>
      <w:bCs/>
      <w:color w:val="000000"/>
      <w:sz w:val="24"/>
      <w:szCs w:val="24"/>
    </w:rPr>
  </w:style>
  <w:style w:type="paragraph" w:styleId="Titre2">
    <w:name w:val="heading 2"/>
    <w:basedOn w:val="Titre1"/>
    <w:next w:val="Normal"/>
    <w:link w:val="Titre2Car"/>
    <w:uiPriority w:val="9"/>
    <w:unhideWhenUsed/>
    <w:qFormat/>
    <w:rsid w:val="00F714BB"/>
    <w:pPr>
      <w:outlineLvl w:val="1"/>
    </w:pPr>
    <w:rPr>
      <w:u w:val="single"/>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sid w:val="00F714BB"/>
    <w:rPr>
      <w:rFonts w:ascii="Calibri" w:eastAsia="Calibri" w:hAnsi="Calibri" w:cs="Calibri"/>
      <w:b/>
      <w:bCs/>
      <w:color w:val="000000"/>
      <w:sz w:val="24"/>
      <w:szCs w:val="24"/>
      <w:u w:val="single"/>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ind w:left="0" w:firstLine="0"/>
    </w:pPr>
  </w:style>
  <w:style w:type="paragraph" w:styleId="TM2">
    <w:name w:val="toc 2"/>
    <w:basedOn w:val="Normal"/>
    <w:next w:val="Normal"/>
    <w:uiPriority w:val="39"/>
    <w:unhideWhenUsed/>
    <w:pPr>
      <w:spacing w:after="57"/>
      <w:ind w:left="283" w:firstLine="0"/>
    </w:pPr>
  </w:style>
  <w:style w:type="paragraph" w:styleId="TM3">
    <w:name w:val="toc 3"/>
    <w:basedOn w:val="Normal"/>
    <w:next w:val="Normal"/>
    <w:uiPriority w:val="39"/>
    <w:unhideWhenUsed/>
    <w:pPr>
      <w:spacing w:after="57"/>
      <w:ind w:left="567" w:firstLine="0"/>
    </w:pPr>
  </w:style>
  <w:style w:type="paragraph" w:styleId="TM4">
    <w:name w:val="toc 4"/>
    <w:basedOn w:val="Normal"/>
    <w:next w:val="Normal"/>
    <w:uiPriority w:val="39"/>
    <w:unhideWhenUsed/>
    <w:pPr>
      <w:spacing w:after="57"/>
      <w:ind w:left="850" w:firstLine="0"/>
    </w:pPr>
  </w:style>
  <w:style w:type="paragraph" w:styleId="TM5">
    <w:name w:val="toc 5"/>
    <w:basedOn w:val="Normal"/>
    <w:next w:val="Normal"/>
    <w:uiPriority w:val="39"/>
    <w:unhideWhenUsed/>
    <w:pPr>
      <w:spacing w:after="57"/>
      <w:ind w:left="1134" w:firstLine="0"/>
    </w:pPr>
  </w:style>
  <w:style w:type="paragraph" w:styleId="TM6">
    <w:name w:val="toc 6"/>
    <w:basedOn w:val="Normal"/>
    <w:next w:val="Normal"/>
    <w:uiPriority w:val="39"/>
    <w:unhideWhenUsed/>
    <w:pPr>
      <w:spacing w:after="57"/>
      <w:ind w:left="1417" w:firstLine="0"/>
    </w:pPr>
  </w:style>
  <w:style w:type="paragraph" w:styleId="TM7">
    <w:name w:val="toc 7"/>
    <w:basedOn w:val="Normal"/>
    <w:next w:val="Normal"/>
    <w:uiPriority w:val="39"/>
    <w:unhideWhenUsed/>
    <w:pPr>
      <w:spacing w:after="57"/>
      <w:ind w:left="1701" w:firstLine="0"/>
    </w:pPr>
  </w:style>
  <w:style w:type="paragraph" w:styleId="TM8">
    <w:name w:val="toc 8"/>
    <w:basedOn w:val="Normal"/>
    <w:next w:val="Normal"/>
    <w:uiPriority w:val="39"/>
    <w:unhideWhenUsed/>
    <w:pPr>
      <w:spacing w:after="57"/>
      <w:ind w:left="1984" w:firstLine="0"/>
    </w:pPr>
  </w:style>
  <w:style w:type="paragraph" w:styleId="TM9">
    <w:name w:val="toc 9"/>
    <w:basedOn w:val="Normal"/>
    <w:next w:val="Normal"/>
    <w:uiPriority w:val="39"/>
    <w:unhideWhenUsed/>
    <w:pPr>
      <w:spacing w:after="57"/>
      <w:ind w:left="2268" w:firstLine="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link w:val="Titre1"/>
    <w:uiPriority w:val="9"/>
    <w:rsid w:val="00F714BB"/>
    <w:rPr>
      <w:rFonts w:ascii="Calibri" w:eastAsia="Calibri" w:hAnsi="Calibri" w:cs="Calibri"/>
      <w:b/>
      <w:bCs/>
      <w:color w:val="000000"/>
      <w:sz w:val="24"/>
      <w:szCs w:val="24"/>
    </w:rPr>
  </w:style>
  <w:style w:type="character" w:styleId="Mentionnonrsolue">
    <w:name w:val="Unresolved Mention"/>
    <w:basedOn w:val="Policepardfaut"/>
    <w:uiPriority w:val="99"/>
    <w:semiHidden/>
    <w:unhideWhenUsed/>
    <w:rsid w:val="0091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mairie-villefranque@wanadoo.fr" TargetMode="External"/><Relationship Id="rId4" Type="http://schemas.openxmlformats.org/officeDocument/2006/relationships/settings" Target="settings.xml"/><Relationship Id="rId9" Type="http://schemas.openxmlformats.org/officeDocument/2006/relationships/hyperlink" Target="http://www.villefranqu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7183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Villefranque - Règlement du columbarium du 6 mars 2019</dc:title>
  <dc:subject/>
  <dc:creator>Mairie Villefranque</dc:creator>
  <cp:keywords/>
  <cp:lastModifiedBy>Claudine CELHAIGUIBEL</cp:lastModifiedBy>
  <cp:revision>24</cp:revision>
  <dcterms:created xsi:type="dcterms:W3CDTF">2023-09-13T06:22:00Z</dcterms:created>
  <dcterms:modified xsi:type="dcterms:W3CDTF">2023-09-13T06:46:00Z</dcterms:modified>
</cp:coreProperties>
</file>